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160" w:rsidRDefault="008A28EA">
      <w:pPr>
        <w:jc w:val="center"/>
        <w:rPr>
          <w:b/>
          <w:sz w:val="24"/>
          <w:szCs w:val="24"/>
        </w:rPr>
      </w:pPr>
      <w:r>
        <w:rPr>
          <w:b/>
          <w:sz w:val="24"/>
          <w:szCs w:val="24"/>
        </w:rPr>
        <w:t xml:space="preserve">De la boite de </w:t>
      </w:r>
      <w:proofErr w:type="spellStart"/>
      <w:r>
        <w:rPr>
          <w:b/>
          <w:sz w:val="24"/>
          <w:szCs w:val="24"/>
        </w:rPr>
        <w:t>Ricoré</w:t>
      </w:r>
      <w:proofErr w:type="spellEnd"/>
      <w:r>
        <w:rPr>
          <w:b/>
          <w:sz w:val="24"/>
          <w:szCs w:val="24"/>
        </w:rPr>
        <w:t xml:space="preserve"> </w:t>
      </w:r>
      <w:r>
        <w:rPr>
          <w:b/>
          <w:sz w:val="24"/>
          <w:szCs w:val="24"/>
          <w:vertAlign w:val="superscript"/>
        </w:rPr>
        <w:t>©</w:t>
      </w:r>
      <w:r>
        <w:rPr>
          <w:b/>
          <w:sz w:val="24"/>
          <w:szCs w:val="24"/>
        </w:rPr>
        <w:t xml:space="preserve"> à l’exposition nationale de Poitiers</w:t>
      </w:r>
    </w:p>
    <w:p w:rsidR="00477160" w:rsidRDefault="00477160">
      <w:pPr>
        <w:jc w:val="center"/>
        <w:rPr>
          <w:b/>
          <w:sz w:val="20"/>
          <w:szCs w:val="20"/>
        </w:rPr>
      </w:pPr>
    </w:p>
    <w:p w:rsidR="00477160" w:rsidRDefault="008A28EA">
      <w:pPr>
        <w:rPr>
          <w:sz w:val="20"/>
          <w:szCs w:val="20"/>
        </w:rPr>
      </w:pPr>
      <w:r>
        <w:rPr>
          <w:sz w:val="20"/>
          <w:szCs w:val="20"/>
        </w:rPr>
        <w:t xml:space="preserve">Entre ces deux événements dix ans se sont écoulés. Dix ans lorsque l’on en a quatorze cela fait beaucoup… A vrai dire la passion de Tanguy pour ses coqs a débuté bien malgré lui. </w:t>
      </w:r>
    </w:p>
    <w:p w:rsidR="00477160" w:rsidRDefault="00477160">
      <w:pPr>
        <w:sectPr w:rsidR="00477160">
          <w:pgSz w:w="11906" w:h="16838"/>
          <w:pgMar w:top="1417" w:right="1417" w:bottom="1417" w:left="1417" w:header="0" w:footer="0" w:gutter="0"/>
          <w:cols w:space="720"/>
          <w:formProt w:val="0"/>
          <w:docGrid w:linePitch="360" w:charSpace="4096"/>
        </w:sectPr>
      </w:pPr>
    </w:p>
    <w:p w:rsidR="00477160" w:rsidRDefault="00477160">
      <w:pPr>
        <w:jc w:val="both"/>
        <w:rPr>
          <w:sz w:val="20"/>
          <w:szCs w:val="20"/>
        </w:rPr>
      </w:pPr>
    </w:p>
    <w:p w:rsidR="00477160" w:rsidRDefault="00477160">
      <w:pPr>
        <w:jc w:val="both"/>
        <w:rPr>
          <w:sz w:val="20"/>
          <w:szCs w:val="20"/>
        </w:rPr>
      </w:pPr>
    </w:p>
    <w:p w:rsidR="00477160" w:rsidRDefault="00477160">
      <w:pPr>
        <w:jc w:val="both"/>
        <w:rPr>
          <w:sz w:val="20"/>
          <w:szCs w:val="20"/>
        </w:rPr>
      </w:pPr>
    </w:p>
    <w:p w:rsidR="00477160" w:rsidRDefault="008A28EA">
      <w:pPr>
        <w:jc w:val="center"/>
      </w:pPr>
      <w:r>
        <w:rPr>
          <w:noProof/>
          <w:lang w:eastAsia="fr-FR"/>
        </w:rPr>
        <w:drawing>
          <wp:inline distT="0" distB="0" distL="0" distR="0">
            <wp:extent cx="2884170" cy="32289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rcRect/>
                    <a:stretch>
                      <a:fillRect/>
                    </a:stretch>
                  </pic:blipFill>
                  <pic:spPr bwMode="auto">
                    <a:xfrm>
                      <a:off x="0" y="0"/>
                      <a:ext cx="2884170" cy="3228975"/>
                    </a:xfrm>
                    <a:prstGeom prst="rect">
                      <a:avLst/>
                    </a:prstGeom>
                    <a:noFill/>
                    <a:ln w="9525">
                      <a:noFill/>
                      <a:miter lim="800000"/>
                      <a:headEnd/>
                      <a:tailEnd/>
                    </a:ln>
                  </pic:spPr>
                </pic:pic>
              </a:graphicData>
            </a:graphic>
          </wp:inline>
        </w:drawing>
      </w:r>
    </w:p>
    <w:p w:rsidR="00477160" w:rsidRDefault="008A28EA">
      <w:pPr>
        <w:jc w:val="center"/>
        <w:rPr>
          <w:sz w:val="20"/>
          <w:szCs w:val="20"/>
        </w:rPr>
      </w:pPr>
      <w:r>
        <w:rPr>
          <w:sz w:val="20"/>
          <w:szCs w:val="20"/>
        </w:rPr>
        <w:t xml:space="preserve">Projet non adopté issu du dossier de travail d’Albert </w:t>
      </w:r>
      <w:proofErr w:type="spellStart"/>
      <w:r>
        <w:rPr>
          <w:sz w:val="20"/>
          <w:szCs w:val="20"/>
        </w:rPr>
        <w:t>Decaris</w:t>
      </w:r>
      <w:proofErr w:type="spellEnd"/>
    </w:p>
    <w:p w:rsidR="00477160" w:rsidRDefault="00477160">
      <w:pPr>
        <w:jc w:val="both"/>
        <w:rPr>
          <w:sz w:val="20"/>
          <w:szCs w:val="20"/>
        </w:rPr>
      </w:pPr>
    </w:p>
    <w:p w:rsidR="00477160" w:rsidRDefault="008A28EA">
      <w:pPr>
        <w:jc w:val="both"/>
        <w:rPr>
          <w:sz w:val="20"/>
          <w:szCs w:val="20"/>
        </w:rPr>
      </w:pPr>
      <w:r>
        <w:rPr>
          <w:sz w:val="20"/>
          <w:szCs w:val="20"/>
        </w:rPr>
        <w:lastRenderedPageBreak/>
        <w:t xml:space="preserve">Aux yeux d’un enfant de 4 ans, les timbres n’ont pas forcément un </w:t>
      </w:r>
      <w:proofErr w:type="spellStart"/>
      <w:r>
        <w:rPr>
          <w:sz w:val="20"/>
          <w:szCs w:val="20"/>
        </w:rPr>
        <w:t>coté</w:t>
      </w:r>
      <w:proofErr w:type="spellEnd"/>
      <w:r>
        <w:rPr>
          <w:sz w:val="20"/>
          <w:szCs w:val="20"/>
        </w:rPr>
        <w:t xml:space="preserve"> attirant. Il faut y faire attention, les trier et les ranger… Cet argument est souvent celui que l’</w:t>
      </w:r>
      <w:r>
        <w:rPr>
          <w:sz w:val="20"/>
          <w:szCs w:val="20"/>
        </w:rPr>
        <w:t xml:space="preserve">on entend pour justifier le peu d’enthousiasme des jeunes à la philatélie. Dans le cas de Tanguy,  une lampe de Wood allait donner un tournant auquel je ne m’attendais pas du tout. L’apparition de bandes jaune sur ces petits bouts de papier, le passionna. </w:t>
      </w:r>
    </w:p>
    <w:p w:rsidR="00477160" w:rsidRDefault="008A28EA">
      <w:pPr>
        <w:jc w:val="both"/>
        <w:rPr>
          <w:sz w:val="20"/>
          <w:szCs w:val="20"/>
        </w:rPr>
      </w:pPr>
      <w:r>
        <w:rPr>
          <w:sz w:val="20"/>
          <w:szCs w:val="20"/>
        </w:rPr>
        <w:t>Lors d’une visite à Sainte-Savine, je racontais ma petite histoire à Gabriel DUTRIPON, qui en fin connaisseur de la jeunesse me donna cinq bottes de timbres avec des coqs et deux timbres-poste à mélanger au milieu,  avec un large sourire et des yeux pétil</w:t>
      </w:r>
      <w:r>
        <w:rPr>
          <w:sz w:val="20"/>
          <w:szCs w:val="20"/>
        </w:rPr>
        <w:t>lants.</w:t>
      </w:r>
    </w:p>
    <w:p w:rsidR="00477160" w:rsidRDefault="008A28EA">
      <w:pPr>
        <w:jc w:val="both"/>
        <w:rPr>
          <w:sz w:val="20"/>
          <w:szCs w:val="20"/>
        </w:rPr>
      </w:pPr>
      <w:r>
        <w:rPr>
          <w:sz w:val="20"/>
          <w:szCs w:val="20"/>
        </w:rPr>
        <w:t>L’effet fut incroyable et pendant plus de trois ans, le poulailler de fortune de sa collection ne cessait d’être ouvert et refermé, avec un bonheur sans cesse répété. Quelques coqs furent exposés suite à l’initiative de François PRATS lors de l’expo</w:t>
      </w:r>
      <w:r>
        <w:rPr>
          <w:sz w:val="20"/>
          <w:szCs w:val="20"/>
        </w:rPr>
        <w:t xml:space="preserve">sition régionale de </w:t>
      </w:r>
      <w:proofErr w:type="spellStart"/>
      <w:r>
        <w:rPr>
          <w:sz w:val="20"/>
          <w:szCs w:val="20"/>
        </w:rPr>
        <w:t>Tagnon</w:t>
      </w:r>
      <w:proofErr w:type="spellEnd"/>
      <w:r>
        <w:rPr>
          <w:sz w:val="20"/>
          <w:szCs w:val="20"/>
        </w:rPr>
        <w:t xml:space="preserve"> de 2003. La présentation faisait 4 pages, avec comme particularité un regroupement des coqs en bas de page. Tanguy fut </w:t>
      </w:r>
      <w:proofErr w:type="gramStart"/>
      <w:r>
        <w:rPr>
          <w:sz w:val="20"/>
          <w:szCs w:val="20"/>
        </w:rPr>
        <w:t>invité</w:t>
      </w:r>
      <w:proofErr w:type="gramEnd"/>
      <w:r>
        <w:rPr>
          <w:sz w:val="20"/>
          <w:szCs w:val="20"/>
        </w:rPr>
        <w:t xml:space="preserve"> à l’exposition régionale de Fraize, où il gagna sa première coupe, qui récompensait l’exposant le plus </w:t>
      </w:r>
      <w:r>
        <w:rPr>
          <w:sz w:val="20"/>
          <w:szCs w:val="20"/>
        </w:rPr>
        <w:t xml:space="preserve">jeune. </w:t>
      </w:r>
    </w:p>
    <w:p w:rsidR="00477160" w:rsidRDefault="00477160">
      <w:pPr>
        <w:jc w:val="both"/>
        <w:rPr>
          <w:sz w:val="20"/>
          <w:szCs w:val="20"/>
        </w:rPr>
      </w:pPr>
    </w:p>
    <w:p w:rsidR="00477160" w:rsidRDefault="00477160">
      <w:pPr>
        <w:sectPr w:rsidR="00477160">
          <w:type w:val="continuous"/>
          <w:pgSz w:w="11906" w:h="16838"/>
          <w:pgMar w:top="1417" w:right="1417" w:bottom="1417" w:left="1417" w:header="0" w:footer="0" w:gutter="0"/>
          <w:cols w:num="2" w:sep="1" w:space="708"/>
          <w:formProt w:val="0"/>
          <w:docGrid w:linePitch="360" w:charSpace="4096"/>
        </w:sectPr>
      </w:pPr>
    </w:p>
    <w:p w:rsidR="00477160" w:rsidRDefault="008A28EA">
      <w:pPr>
        <w:jc w:val="both"/>
        <w:rPr>
          <w:sz w:val="20"/>
          <w:szCs w:val="20"/>
        </w:rPr>
      </w:pPr>
      <w:r>
        <w:rPr>
          <w:sz w:val="20"/>
          <w:szCs w:val="20"/>
        </w:rPr>
        <w:lastRenderedPageBreak/>
        <w:t>Lors d’Epernay 2006, Tanguy participa à la seconde initiative jeunesse du groupement « la classe jeunesse débutant ». Sa présentation était plus « conventionnelle » et sa collection s’étalait sur 12 pages. En effet, les nom</w:t>
      </w:r>
      <w:r>
        <w:rPr>
          <w:sz w:val="20"/>
          <w:szCs w:val="20"/>
        </w:rPr>
        <w:t>breux cadeaux de ses deux Gabriel (son grand-père et Gabriel DUTRIPON) avaient fait fructifier le poulailler. Le jury conduit par Jean-Marie VUILLEMARD lui attribua la note de 20/</w:t>
      </w:r>
      <w:proofErr w:type="gramStart"/>
      <w:r>
        <w:rPr>
          <w:sz w:val="20"/>
          <w:szCs w:val="20"/>
        </w:rPr>
        <w:t xml:space="preserve">20 </w:t>
      </w:r>
      <w:proofErr w:type="gramEnd"/>
      <w:r>
        <w:rPr>
          <w:rStyle w:val="Ancredenotedebasdepage"/>
          <w:sz w:val="20"/>
          <w:szCs w:val="20"/>
        </w:rPr>
        <w:footnoteReference w:id="1"/>
      </w:r>
      <w:r>
        <w:rPr>
          <w:sz w:val="20"/>
          <w:szCs w:val="20"/>
        </w:rPr>
        <w:t xml:space="preserve">. </w:t>
      </w:r>
    </w:p>
    <w:p w:rsidR="00477160" w:rsidRDefault="008A28EA">
      <w:pPr>
        <w:jc w:val="both"/>
        <w:rPr>
          <w:sz w:val="20"/>
          <w:szCs w:val="20"/>
        </w:rPr>
      </w:pPr>
      <w:r>
        <w:rPr>
          <w:sz w:val="20"/>
          <w:szCs w:val="20"/>
        </w:rPr>
        <w:t>Tanguy était plein d’entrain et  volontaire pour participer de façon c</w:t>
      </w:r>
      <w:r>
        <w:rPr>
          <w:sz w:val="20"/>
          <w:szCs w:val="20"/>
        </w:rPr>
        <w:t>ompétitive, mais son moniteur beaucoup moins. Ainsi il du ronger son frein pendant  quelques années. Sa collection prit régulièrement de l’ampleur avec  l’arrivée de documents issus notamment des collections de François PRATS et Guy DUTAU.</w:t>
      </w:r>
    </w:p>
    <w:p w:rsidR="00477160" w:rsidRDefault="00477160">
      <w:pPr>
        <w:jc w:val="both"/>
        <w:rPr>
          <w:sz w:val="20"/>
          <w:szCs w:val="20"/>
        </w:rPr>
      </w:pPr>
    </w:p>
    <w:p w:rsidR="00477160" w:rsidRDefault="008A28EA">
      <w:pPr>
        <w:jc w:val="both"/>
        <w:rPr>
          <w:sz w:val="20"/>
          <w:szCs w:val="20"/>
        </w:rPr>
      </w:pPr>
      <w:r>
        <w:rPr>
          <w:sz w:val="20"/>
          <w:szCs w:val="20"/>
        </w:rPr>
        <w:lastRenderedPageBreak/>
        <w:t>En 2012, profit</w:t>
      </w:r>
      <w:r>
        <w:rPr>
          <w:sz w:val="20"/>
          <w:szCs w:val="20"/>
        </w:rPr>
        <w:t xml:space="preserve">ant de la vitrine de </w:t>
      </w:r>
      <w:proofErr w:type="spellStart"/>
      <w:r>
        <w:rPr>
          <w:sz w:val="20"/>
          <w:szCs w:val="20"/>
        </w:rPr>
        <w:t>Marcophilex</w:t>
      </w:r>
      <w:proofErr w:type="spellEnd"/>
      <w:r>
        <w:rPr>
          <w:sz w:val="20"/>
          <w:szCs w:val="20"/>
        </w:rPr>
        <w:t>, Tanguy se lança  dans le grand bain des expositions avec comme objectif de participer un jour à une exposition de niveau national. Cette expérience fut très enrichissante pour Tanguy. Au contact de nombreux philatélistes p</w:t>
      </w:r>
      <w:r>
        <w:rPr>
          <w:sz w:val="20"/>
          <w:szCs w:val="20"/>
        </w:rPr>
        <w:t>our la plupart bienveillants, Tanguy prit conscience qu’il fallait beaucoup travailler pour réussir et non pas aligner simplement des pièces.</w:t>
      </w:r>
    </w:p>
    <w:p w:rsidR="00477160" w:rsidRDefault="008A28EA">
      <w:pPr>
        <w:jc w:val="both"/>
        <w:rPr>
          <w:sz w:val="20"/>
          <w:szCs w:val="20"/>
        </w:rPr>
      </w:pPr>
      <w:r>
        <w:rPr>
          <w:sz w:val="20"/>
          <w:szCs w:val="20"/>
        </w:rPr>
        <w:t>Lors de cette exposition, une question toute simple l’avait déstabilisée et est à l’origine de sa boulimie de conn</w:t>
      </w:r>
      <w:r>
        <w:rPr>
          <w:sz w:val="20"/>
          <w:szCs w:val="20"/>
        </w:rPr>
        <w:t>aissance « Qui a dessiné tes coqs ?». A l’époque l’angoisse l’avait paralysé. De nature à aimer lire, Tanguy commença à prendre des informations dans ma bibliothèque, qui rapidement ne lui permit plus de répondre à ses questions. Internet allait être son a</w:t>
      </w:r>
      <w:r>
        <w:rPr>
          <w:sz w:val="20"/>
          <w:szCs w:val="20"/>
        </w:rPr>
        <w:t xml:space="preserve">llié. </w:t>
      </w:r>
    </w:p>
    <w:p w:rsidR="00477160" w:rsidRDefault="008A28EA">
      <w:pPr>
        <w:jc w:val="both"/>
        <w:rPr>
          <w:sz w:val="20"/>
          <w:szCs w:val="20"/>
        </w:rPr>
      </w:pPr>
      <w:r>
        <w:rPr>
          <w:sz w:val="20"/>
          <w:szCs w:val="20"/>
        </w:rPr>
        <w:t>Un mail adressé à la SOCOCODAMI lui permit de rentrer en contact avec Monsieur GAGNE qui lui expliqua comment regarder ses coins datés. Ce fut le premier vrai chantier : identifier les tirages et trouver une manière simple de les identifier. A parti</w:t>
      </w:r>
      <w:r>
        <w:rPr>
          <w:sz w:val="20"/>
          <w:szCs w:val="20"/>
        </w:rPr>
        <w:t>r de ce constat la structure de l’étude des timbres-poste est apparue comme une évidence : les indications de service allaient devenir le fil conducteur de l’étude.</w:t>
      </w:r>
    </w:p>
    <w:p w:rsidR="00477160" w:rsidRDefault="00477160">
      <w:pPr>
        <w:jc w:val="both"/>
        <w:rPr>
          <w:sz w:val="20"/>
          <w:szCs w:val="20"/>
        </w:rPr>
      </w:pPr>
    </w:p>
    <w:p w:rsidR="00477160" w:rsidRDefault="00477160">
      <w:pPr>
        <w:sectPr w:rsidR="00477160">
          <w:type w:val="continuous"/>
          <w:pgSz w:w="11906" w:h="16838"/>
          <w:pgMar w:top="1417" w:right="1417" w:bottom="1417" w:left="1417" w:header="0" w:footer="0" w:gutter="0"/>
          <w:cols w:space="720"/>
          <w:formProt w:val="0"/>
          <w:docGrid w:linePitch="360" w:charSpace="4096"/>
        </w:sectPr>
      </w:pPr>
    </w:p>
    <w:p w:rsidR="00477160" w:rsidRDefault="008A28EA">
      <w:pPr>
        <w:jc w:val="both"/>
      </w:pPr>
      <w:r>
        <w:rPr>
          <w:noProof/>
          <w:lang w:eastAsia="fr-FR"/>
        </w:rPr>
        <w:lastRenderedPageBreak/>
        <w:drawing>
          <wp:inline distT="0" distB="0" distL="0" distR="0">
            <wp:extent cx="3048000" cy="235140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rcRect/>
                    <a:stretch>
                      <a:fillRect/>
                    </a:stretch>
                  </pic:blipFill>
                  <pic:spPr bwMode="auto">
                    <a:xfrm>
                      <a:off x="0" y="0"/>
                      <a:ext cx="3048000" cy="2351405"/>
                    </a:xfrm>
                    <a:prstGeom prst="rect">
                      <a:avLst/>
                    </a:prstGeom>
                    <a:noFill/>
                    <a:ln w="9525">
                      <a:noFill/>
                      <a:miter lim="800000"/>
                      <a:headEnd/>
                      <a:tailEnd/>
                    </a:ln>
                  </pic:spPr>
                </pic:pic>
              </a:graphicData>
            </a:graphic>
          </wp:inline>
        </w:drawing>
      </w:r>
    </w:p>
    <w:p w:rsidR="00477160" w:rsidRDefault="008A28EA">
      <w:pPr>
        <w:jc w:val="both"/>
        <w:rPr>
          <w:i/>
          <w:sz w:val="18"/>
          <w:szCs w:val="18"/>
        </w:rPr>
      </w:pPr>
      <w:r>
        <w:rPr>
          <w:i/>
          <w:sz w:val="18"/>
          <w:szCs w:val="18"/>
        </w:rPr>
        <w:t>Lettre affranchie par l’expéditeur à l’aide de deux timbres-poste « Ja</w:t>
      </w:r>
      <w:r>
        <w:rPr>
          <w:i/>
          <w:sz w:val="18"/>
          <w:szCs w:val="18"/>
        </w:rPr>
        <w:t>une d’or » soit 0.50F au lieu de 0.45F suivant le tarif de la lettre de plus de 20 grammes et moins de 50 grammes du 6 janvier 1959.</w:t>
      </w:r>
    </w:p>
    <w:p w:rsidR="00477160" w:rsidRDefault="008A28EA">
      <w:pPr>
        <w:jc w:val="both"/>
        <w:rPr>
          <w:i/>
          <w:sz w:val="18"/>
          <w:szCs w:val="18"/>
        </w:rPr>
      </w:pPr>
      <w:r>
        <w:rPr>
          <w:i/>
          <w:sz w:val="18"/>
          <w:szCs w:val="18"/>
        </w:rPr>
        <w:t>Les paires sur documents sont les pièces les plus rares concernant l’utilisation des coqs « jaune d’or »</w:t>
      </w:r>
    </w:p>
    <w:p w:rsidR="00477160" w:rsidRDefault="00477160">
      <w:pPr>
        <w:jc w:val="both"/>
        <w:rPr>
          <w:sz w:val="20"/>
          <w:szCs w:val="20"/>
        </w:rPr>
      </w:pPr>
    </w:p>
    <w:p w:rsidR="00477160" w:rsidRDefault="008A28EA">
      <w:pPr>
        <w:jc w:val="both"/>
        <w:rPr>
          <w:sz w:val="20"/>
          <w:szCs w:val="20"/>
        </w:rPr>
      </w:pPr>
      <w:r>
        <w:rPr>
          <w:sz w:val="20"/>
          <w:szCs w:val="20"/>
        </w:rPr>
        <w:lastRenderedPageBreak/>
        <w:t xml:space="preserve">Laurent BONNEFOY </w:t>
      </w:r>
      <w:r>
        <w:rPr>
          <w:sz w:val="20"/>
          <w:szCs w:val="20"/>
        </w:rPr>
        <w:t>mit Tanguy en relation avec un spécialiste des coqs Fluo, les mêmes qui quelques années plutôt l’avaient émerveillé. Luc HAMELIN, fit découvrir de nouvelles sources de documentation qui allait en appeler d’autres. Rapidement je m’aperçus que mes limites ét</w:t>
      </w:r>
      <w:r>
        <w:rPr>
          <w:sz w:val="20"/>
          <w:szCs w:val="20"/>
        </w:rPr>
        <w:t xml:space="preserve">aient atteintes. Un nouveau mail à mes confrères de l’Académie de Philatélie et aux philatélistes qui avaient encouragés Tanguy lors de </w:t>
      </w:r>
      <w:proofErr w:type="spellStart"/>
      <w:r>
        <w:rPr>
          <w:sz w:val="20"/>
          <w:szCs w:val="20"/>
        </w:rPr>
        <w:t>Marcophilex</w:t>
      </w:r>
      <w:proofErr w:type="spellEnd"/>
      <w:r>
        <w:rPr>
          <w:sz w:val="20"/>
          <w:szCs w:val="20"/>
        </w:rPr>
        <w:t xml:space="preserve"> allait donner la base d’un groupe qui commença à aider Tanguy dans ses recherches et ses questions.</w:t>
      </w:r>
    </w:p>
    <w:p w:rsidR="00477160" w:rsidRDefault="008A28EA">
      <w:pPr>
        <w:jc w:val="both"/>
        <w:rPr>
          <w:sz w:val="20"/>
          <w:szCs w:val="20"/>
        </w:rPr>
      </w:pPr>
      <w:r>
        <w:rPr>
          <w:sz w:val="20"/>
          <w:szCs w:val="20"/>
        </w:rPr>
        <w:t>L’aboutissement de ces échanges très nombreux fut l’exposition régionale d’Yzeure ou Tanguy présenta 48 pages sur ses coqs avec comme ambition de se qualifier pour la prochaine exposition nationale. En un peu plus d’un an, Tanguy refit sa présentation 17 f</w:t>
      </w:r>
      <w:r>
        <w:rPr>
          <w:sz w:val="20"/>
          <w:szCs w:val="20"/>
        </w:rPr>
        <w:t xml:space="preserve">ois… Sur place, il eut la chance de rencontrer beaucoup de ses interlocuteurs, et put leur montrer son travail avec une certaine fierté. Il lui restait à répondre aux questions du jury et là, l’expérience de </w:t>
      </w:r>
      <w:proofErr w:type="spellStart"/>
      <w:r>
        <w:rPr>
          <w:sz w:val="20"/>
          <w:szCs w:val="20"/>
        </w:rPr>
        <w:t>Marcophilex</w:t>
      </w:r>
      <w:proofErr w:type="spellEnd"/>
      <w:r>
        <w:rPr>
          <w:sz w:val="20"/>
          <w:szCs w:val="20"/>
        </w:rPr>
        <w:t xml:space="preserve"> fut rangée au rang de souvenir. </w:t>
      </w:r>
    </w:p>
    <w:p w:rsidR="00477160" w:rsidRDefault="00477160">
      <w:pPr>
        <w:sectPr w:rsidR="00477160">
          <w:type w:val="continuous"/>
          <w:pgSz w:w="11906" w:h="16838"/>
          <w:pgMar w:top="1417" w:right="1417" w:bottom="1417" w:left="1417" w:header="0" w:footer="0" w:gutter="0"/>
          <w:cols w:num="2" w:sep="1" w:space="708"/>
          <w:formProt w:val="0"/>
          <w:docGrid w:linePitch="360" w:charSpace="4096"/>
        </w:sectPr>
      </w:pPr>
    </w:p>
    <w:p w:rsidR="00477160" w:rsidRDefault="00477160">
      <w:pPr>
        <w:jc w:val="both"/>
        <w:rPr>
          <w:sz w:val="20"/>
          <w:szCs w:val="20"/>
        </w:rPr>
      </w:pPr>
    </w:p>
    <w:p w:rsidR="00477160" w:rsidRDefault="00477160">
      <w:pPr>
        <w:sectPr w:rsidR="00477160">
          <w:type w:val="continuous"/>
          <w:pgSz w:w="11906" w:h="16838"/>
          <w:pgMar w:top="1417" w:right="1417" w:bottom="1417" w:left="1417" w:header="0" w:footer="0" w:gutter="0"/>
          <w:cols w:num="2" w:sep="1" w:space="708"/>
          <w:formProt w:val="0"/>
          <w:docGrid w:linePitch="360" w:charSpace="4096"/>
        </w:sectPr>
      </w:pPr>
    </w:p>
    <w:p w:rsidR="00477160" w:rsidRDefault="008A28EA">
      <w:pPr>
        <w:jc w:val="both"/>
        <w:rPr>
          <w:sz w:val="20"/>
          <w:szCs w:val="20"/>
        </w:rPr>
      </w:pPr>
      <w:r>
        <w:rPr>
          <w:sz w:val="20"/>
          <w:szCs w:val="20"/>
        </w:rPr>
        <w:lastRenderedPageBreak/>
        <w:t xml:space="preserve">J’avoue que personnellement laisser mon neveu « affronter » seul, de brillants philatélistes </w:t>
      </w:r>
      <w:proofErr w:type="gramStart"/>
      <w:r>
        <w:rPr>
          <w:sz w:val="20"/>
          <w:szCs w:val="20"/>
        </w:rPr>
        <w:t>m’inquiétait</w:t>
      </w:r>
      <w:proofErr w:type="gramEnd"/>
      <w:r>
        <w:rPr>
          <w:sz w:val="20"/>
          <w:szCs w:val="20"/>
        </w:rPr>
        <w:t>.  Après  2 heures d’explications de sa présentation, je retrouvais Tanguy avec un grand sourire. Dan</w:t>
      </w:r>
      <w:r>
        <w:rPr>
          <w:sz w:val="20"/>
          <w:szCs w:val="20"/>
        </w:rPr>
        <w:t xml:space="preserve">s sa bouche, les conseils et remarques étaient  autant de nouvelles  pistes de développement de sa présentation. </w:t>
      </w:r>
    </w:p>
    <w:p w:rsidR="00477160" w:rsidRDefault="008A28EA">
      <w:pPr>
        <w:jc w:val="both"/>
        <w:rPr>
          <w:sz w:val="20"/>
          <w:szCs w:val="20"/>
        </w:rPr>
      </w:pPr>
      <w:r>
        <w:rPr>
          <w:sz w:val="20"/>
          <w:szCs w:val="20"/>
        </w:rPr>
        <w:t>Le repas du palmarès fut pour lui, une torture car il était angoissé à l’idée de savoir s’il avait réussi son pari. Nous étions à table avec l</w:t>
      </w:r>
      <w:r>
        <w:rPr>
          <w:sz w:val="20"/>
          <w:szCs w:val="20"/>
        </w:rPr>
        <w:t xml:space="preserve">e jury qui l’avait noté et Monsieur FARGEOT se chargea de le réconforter. </w:t>
      </w:r>
    </w:p>
    <w:p w:rsidR="00477160" w:rsidRDefault="008A28EA">
      <w:pPr>
        <w:jc w:val="both"/>
        <w:rPr>
          <w:sz w:val="20"/>
          <w:szCs w:val="20"/>
        </w:rPr>
      </w:pPr>
      <w:r>
        <w:rPr>
          <w:sz w:val="20"/>
          <w:szCs w:val="20"/>
        </w:rPr>
        <w:lastRenderedPageBreak/>
        <w:t>Rapidement les notes arrivèrent et lorsque Tanguy appris sa note, il fut très surpris. Surpris également par les applaudissements et les chaleureuses félicitations qui l’accompagnai</w:t>
      </w:r>
      <w:r>
        <w:rPr>
          <w:sz w:val="20"/>
          <w:szCs w:val="20"/>
        </w:rPr>
        <w:t>ent</w:t>
      </w:r>
      <w:r>
        <w:rPr>
          <w:rStyle w:val="Ancredenotedebasdepage"/>
          <w:sz w:val="20"/>
          <w:szCs w:val="20"/>
        </w:rPr>
        <w:footnoteReference w:id="2"/>
      </w:r>
      <w:r>
        <w:rPr>
          <w:sz w:val="20"/>
          <w:szCs w:val="20"/>
        </w:rPr>
        <w:t xml:space="preserve">. </w:t>
      </w:r>
    </w:p>
    <w:p w:rsidR="00477160" w:rsidRDefault="008A28EA">
      <w:pPr>
        <w:jc w:val="both"/>
        <w:rPr>
          <w:sz w:val="20"/>
          <w:szCs w:val="20"/>
        </w:rPr>
      </w:pPr>
      <w:r>
        <w:rPr>
          <w:sz w:val="20"/>
          <w:szCs w:val="20"/>
        </w:rPr>
        <w:t>De ce séjour dans l’Allier, Tanguy revint avec encore plus de motivation et d’envie. Maintenant Tanguy allait pouvoir participer à sa première  exposition nationale, ce serait à Poitiers. La grande question était de savoir s’il gardait sa présentati</w:t>
      </w:r>
      <w:r>
        <w:rPr>
          <w:sz w:val="20"/>
          <w:szCs w:val="20"/>
        </w:rPr>
        <w:t>on en l’état ou s’il procédait à des modifications.</w:t>
      </w:r>
    </w:p>
    <w:p w:rsidR="00477160" w:rsidRDefault="008A28EA">
      <w:pPr>
        <w:jc w:val="both"/>
        <w:rPr>
          <w:sz w:val="20"/>
          <w:szCs w:val="20"/>
        </w:rPr>
      </w:pPr>
      <w:r>
        <w:rPr>
          <w:sz w:val="20"/>
          <w:szCs w:val="20"/>
        </w:rPr>
        <w:t>Rapidement il prit la décision de refaire sa présentation. Entre temps, le second jeune qui participe au groupe qui aide Tanguy, voyait ses efforts récompensés par un superbe résultat</w:t>
      </w:r>
      <w:r>
        <w:rPr>
          <w:rStyle w:val="Ancredenotedebasdepage"/>
          <w:sz w:val="20"/>
          <w:szCs w:val="20"/>
        </w:rPr>
        <w:footnoteReference w:id="3"/>
      </w:r>
      <w:r>
        <w:rPr>
          <w:sz w:val="20"/>
          <w:szCs w:val="20"/>
        </w:rPr>
        <w:t xml:space="preserve">. Ce fut une source </w:t>
      </w:r>
      <w:r>
        <w:rPr>
          <w:sz w:val="20"/>
          <w:szCs w:val="20"/>
        </w:rPr>
        <w:t>de motivation extrême.</w:t>
      </w:r>
    </w:p>
    <w:p w:rsidR="00477160" w:rsidRDefault="008A28EA">
      <w:pPr>
        <w:jc w:val="both"/>
        <w:rPr>
          <w:sz w:val="20"/>
          <w:szCs w:val="20"/>
        </w:rPr>
      </w:pPr>
      <w:r>
        <w:rPr>
          <w:sz w:val="20"/>
          <w:szCs w:val="20"/>
        </w:rPr>
        <w:t>Ainsi la présentation d’Yzeure montée sur 48 pages mais sur des cadres de 12 pages laissait place à une présentation prévue sur 3 cadres de 16 pages. Au début cette nouvelle version, seule la forme devait être modifiée, mais François</w:t>
      </w:r>
      <w:r>
        <w:rPr>
          <w:sz w:val="20"/>
          <w:szCs w:val="20"/>
        </w:rPr>
        <w:t xml:space="preserve"> PRATS apporta à Tanguy une mine d’or avec pas moins de 6 albums avec des coqs… </w:t>
      </w:r>
    </w:p>
    <w:p w:rsidR="00477160" w:rsidRDefault="008A28EA">
      <w:pPr>
        <w:jc w:val="center"/>
      </w:pPr>
      <w:r>
        <w:rPr>
          <w:noProof/>
          <w:lang w:eastAsia="fr-FR"/>
        </w:rPr>
        <w:drawing>
          <wp:inline distT="0" distB="0" distL="0" distR="0">
            <wp:extent cx="3394710" cy="90487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9"/>
                    <a:srcRect/>
                    <a:stretch>
                      <a:fillRect/>
                    </a:stretch>
                  </pic:blipFill>
                  <pic:spPr bwMode="auto">
                    <a:xfrm>
                      <a:off x="0" y="0"/>
                      <a:ext cx="3394710" cy="904875"/>
                    </a:xfrm>
                    <a:prstGeom prst="rect">
                      <a:avLst/>
                    </a:prstGeom>
                    <a:noFill/>
                    <a:ln w="9525">
                      <a:noFill/>
                      <a:miter lim="800000"/>
                      <a:headEnd/>
                      <a:tailEnd/>
                    </a:ln>
                  </pic:spPr>
                </pic:pic>
              </a:graphicData>
            </a:graphic>
          </wp:inline>
        </w:drawing>
      </w:r>
    </w:p>
    <w:p w:rsidR="00477160" w:rsidRDefault="008A28EA">
      <w:pPr>
        <w:jc w:val="center"/>
        <w:rPr>
          <w:i/>
          <w:sz w:val="18"/>
          <w:szCs w:val="18"/>
        </w:rPr>
      </w:pPr>
      <w:r>
        <w:rPr>
          <w:i/>
          <w:sz w:val="18"/>
          <w:szCs w:val="18"/>
        </w:rPr>
        <w:t>Bande issue d’une feuille d’impression sans fin destinée à la confection des carnets, rebutée pour impression défectueuse et annulée par un maculage noir.</w:t>
      </w:r>
    </w:p>
    <w:p w:rsidR="00477160" w:rsidRDefault="008A28EA">
      <w:pPr>
        <w:jc w:val="both"/>
        <w:rPr>
          <w:sz w:val="20"/>
          <w:szCs w:val="20"/>
        </w:rPr>
      </w:pPr>
      <w:r>
        <w:rPr>
          <w:sz w:val="20"/>
          <w:szCs w:val="20"/>
        </w:rPr>
        <w:t xml:space="preserve">Je n’oublierais jamais, les moments d’émerveillement de Tanguy, à la vue de toutes ces nouvelles pièces. Ces pièces étaient tellement nombreuses, qu’il fallait n’en prendre que quelques-unes pour ne pas déséquilibrer la présentation. </w:t>
      </w:r>
    </w:p>
    <w:p w:rsidR="00477160" w:rsidRDefault="008A28EA">
      <w:pPr>
        <w:jc w:val="both"/>
        <w:rPr>
          <w:sz w:val="20"/>
          <w:szCs w:val="20"/>
        </w:rPr>
      </w:pPr>
      <w:r>
        <w:rPr>
          <w:sz w:val="20"/>
          <w:szCs w:val="20"/>
        </w:rPr>
        <w:t>Tanguy profita de cet</w:t>
      </w:r>
      <w:r>
        <w:rPr>
          <w:sz w:val="20"/>
          <w:szCs w:val="20"/>
        </w:rPr>
        <w:t>te occasion pour faire expertiser ses principales pièces. En effet, il n’a rien de pire que d’avoir des faux ou des truqués dans sa collection. A Yzeure, Jean-François BRUN avait donné des conseils à Tanguy, et lui avait indiqué que s’il avait des question</w:t>
      </w:r>
      <w:r>
        <w:rPr>
          <w:sz w:val="20"/>
          <w:szCs w:val="20"/>
        </w:rPr>
        <w:t>s il lui répondrait avec  plaisir. Tout naturellement, Tanguy lui confia ses pièces. Deux mois plus tard, celles-ci revinrent avec leurs signatures. Je tiens à préciser que ces expertises furent faites à titre gracieux et nous tenons à en remercier Jean-Fr</w:t>
      </w:r>
      <w:r>
        <w:rPr>
          <w:sz w:val="20"/>
          <w:szCs w:val="20"/>
        </w:rPr>
        <w:t>ançois une nouvelle fois. L’aspect inattendu de ces expertises, fut que Tanguy prit plus confiance en lui. Ces pièces expertisées donnent une crédibilité plus importante à l’ensemble de la présentation. Maintenant il  restait à Tanguy de choisir comment id</w:t>
      </w:r>
      <w:r>
        <w:rPr>
          <w:sz w:val="20"/>
          <w:szCs w:val="20"/>
        </w:rPr>
        <w:t>entifier les pièces signées, finalement nous avons choisi un petit e inscrit à côté des pièces.</w:t>
      </w:r>
    </w:p>
    <w:p w:rsidR="00477160" w:rsidRDefault="008A28EA">
      <w:pPr>
        <w:jc w:val="both"/>
        <w:rPr>
          <w:sz w:val="20"/>
          <w:szCs w:val="20"/>
        </w:rPr>
      </w:pPr>
      <w:r>
        <w:rPr>
          <w:sz w:val="20"/>
          <w:szCs w:val="20"/>
        </w:rPr>
        <w:t>Tanguy débuta la phase finale de la rédaction début mars, puis modifia encore 3 fois sa présentation suite aux corrections de ses relecteurs. Le montage est ter</w:t>
      </w:r>
      <w:r>
        <w:rPr>
          <w:sz w:val="20"/>
          <w:szCs w:val="20"/>
        </w:rPr>
        <w:t>miné depuis le 5 avril et maintenant la collection va partir pour Poitiers. Ainsi s’achève pour Tanguy un long parcours, ou les trois dernières années furent le fruit d’un très important travail, mais aussi d’acquisition de connaissances et surtout de plai</w:t>
      </w:r>
      <w:r>
        <w:rPr>
          <w:sz w:val="20"/>
          <w:szCs w:val="20"/>
        </w:rPr>
        <w:t xml:space="preserve">sir. </w:t>
      </w:r>
    </w:p>
    <w:p w:rsidR="00477160" w:rsidRDefault="008A28EA">
      <w:pPr>
        <w:jc w:val="both"/>
        <w:rPr>
          <w:sz w:val="20"/>
          <w:szCs w:val="20"/>
        </w:rPr>
      </w:pPr>
      <w:r>
        <w:rPr>
          <w:sz w:val="20"/>
          <w:szCs w:val="20"/>
        </w:rPr>
        <w:t>La prochaine étape sera de participer à une exposition internationale, les premiers conseils sont déjà parvenus à Tanguy via le président de la commission Traditionnelle FIP, Monsieur Brian TROTTER. Rendez-vous en 2016 ?</w:t>
      </w:r>
    </w:p>
    <w:p w:rsidR="00477160" w:rsidRDefault="008A28EA">
      <w:pPr>
        <w:jc w:val="both"/>
        <w:rPr>
          <w:sz w:val="20"/>
          <w:szCs w:val="20"/>
        </w:rPr>
      </w:pPr>
      <w:r>
        <w:rPr>
          <w:sz w:val="20"/>
          <w:szCs w:val="20"/>
        </w:rPr>
        <w:lastRenderedPageBreak/>
        <w:t>A travers ce récit je souhait</w:t>
      </w:r>
      <w:r>
        <w:rPr>
          <w:sz w:val="20"/>
          <w:szCs w:val="20"/>
        </w:rPr>
        <w:t xml:space="preserve">e vous faire partager le bonheur d’avoir suivi et aidé Tanguy depuis ses début dans la philatélie, mais surtout le plaisir d’être un moniteur jeunesse. </w:t>
      </w:r>
    </w:p>
    <w:p w:rsidR="00477160" w:rsidRDefault="00477160">
      <w:pPr>
        <w:jc w:val="both"/>
        <w:rPr>
          <w:sz w:val="20"/>
          <w:szCs w:val="20"/>
        </w:rPr>
      </w:pPr>
    </w:p>
    <w:p w:rsidR="00477160" w:rsidRDefault="008A28EA">
      <w:pPr>
        <w:jc w:val="both"/>
        <w:rPr>
          <w:sz w:val="20"/>
          <w:szCs w:val="20"/>
        </w:rPr>
      </w:pPr>
      <w:r>
        <w:rPr>
          <w:sz w:val="20"/>
          <w:szCs w:val="20"/>
        </w:rPr>
        <w:t>Avec Tanguy, nous souhaitions aussi et surtout remercier les nombreuses personnes qui ont aidées Tangu</w:t>
      </w:r>
      <w:r>
        <w:rPr>
          <w:sz w:val="20"/>
          <w:szCs w:val="20"/>
        </w:rPr>
        <w:t>y :</w:t>
      </w:r>
    </w:p>
    <w:p w:rsidR="00477160" w:rsidRDefault="008A28EA">
      <w:pPr>
        <w:jc w:val="both"/>
        <w:rPr>
          <w:sz w:val="20"/>
          <w:szCs w:val="20"/>
        </w:rPr>
      </w:pPr>
      <w:r>
        <w:rPr>
          <w:sz w:val="20"/>
          <w:szCs w:val="20"/>
        </w:rPr>
        <w:t xml:space="preserve">Ses généreux donateurs : Messieurs Gabriel </w:t>
      </w:r>
      <w:proofErr w:type="spellStart"/>
      <w:r>
        <w:rPr>
          <w:sz w:val="20"/>
          <w:szCs w:val="20"/>
        </w:rPr>
        <w:t>Dutripon</w:t>
      </w:r>
      <w:proofErr w:type="spellEnd"/>
      <w:r>
        <w:rPr>
          <w:sz w:val="20"/>
          <w:szCs w:val="20"/>
        </w:rPr>
        <w:t xml:space="preserve">, François </w:t>
      </w:r>
      <w:proofErr w:type="spellStart"/>
      <w:r>
        <w:rPr>
          <w:sz w:val="20"/>
          <w:szCs w:val="20"/>
        </w:rPr>
        <w:t>Prats</w:t>
      </w:r>
      <w:proofErr w:type="spellEnd"/>
      <w:r>
        <w:rPr>
          <w:sz w:val="20"/>
          <w:szCs w:val="20"/>
        </w:rPr>
        <w:t xml:space="preserve">, Gabriel </w:t>
      </w:r>
      <w:proofErr w:type="spellStart"/>
      <w:r>
        <w:rPr>
          <w:sz w:val="20"/>
          <w:szCs w:val="20"/>
        </w:rPr>
        <w:t>Saintot</w:t>
      </w:r>
      <w:proofErr w:type="spellEnd"/>
      <w:r>
        <w:rPr>
          <w:sz w:val="20"/>
          <w:szCs w:val="20"/>
        </w:rPr>
        <w:t xml:space="preserve">, Michel Bauer, Laurent Bonnefoy, Guy </w:t>
      </w:r>
      <w:proofErr w:type="spellStart"/>
      <w:r>
        <w:rPr>
          <w:sz w:val="20"/>
          <w:szCs w:val="20"/>
        </w:rPr>
        <w:t>Dutau</w:t>
      </w:r>
      <w:proofErr w:type="spellEnd"/>
      <w:r>
        <w:rPr>
          <w:sz w:val="20"/>
          <w:szCs w:val="20"/>
        </w:rPr>
        <w:t xml:space="preserve">, Bruno </w:t>
      </w:r>
      <w:proofErr w:type="spellStart"/>
      <w:r>
        <w:rPr>
          <w:sz w:val="20"/>
          <w:szCs w:val="20"/>
        </w:rPr>
        <w:t>Melin</w:t>
      </w:r>
      <w:proofErr w:type="spellEnd"/>
      <w:r>
        <w:rPr>
          <w:sz w:val="20"/>
          <w:szCs w:val="20"/>
        </w:rPr>
        <w:t xml:space="preserve">, Jean-Jacques </w:t>
      </w:r>
      <w:proofErr w:type="spellStart"/>
      <w:r>
        <w:rPr>
          <w:sz w:val="20"/>
          <w:szCs w:val="20"/>
        </w:rPr>
        <w:t>Rabineau</w:t>
      </w:r>
      <w:proofErr w:type="spellEnd"/>
      <w:r>
        <w:rPr>
          <w:sz w:val="20"/>
          <w:szCs w:val="20"/>
        </w:rPr>
        <w:t xml:space="preserve">, François </w:t>
      </w:r>
      <w:proofErr w:type="spellStart"/>
      <w:r>
        <w:rPr>
          <w:sz w:val="20"/>
          <w:szCs w:val="20"/>
        </w:rPr>
        <w:t>Thénard</w:t>
      </w:r>
      <w:proofErr w:type="spellEnd"/>
      <w:r>
        <w:rPr>
          <w:sz w:val="20"/>
          <w:szCs w:val="20"/>
        </w:rPr>
        <w:t>.</w:t>
      </w:r>
    </w:p>
    <w:p w:rsidR="00477160" w:rsidRDefault="008A28EA">
      <w:pPr>
        <w:jc w:val="both"/>
        <w:rPr>
          <w:sz w:val="20"/>
          <w:szCs w:val="20"/>
        </w:rPr>
      </w:pPr>
      <w:r>
        <w:rPr>
          <w:sz w:val="20"/>
          <w:szCs w:val="20"/>
        </w:rPr>
        <w:t xml:space="preserve">Ses courageux relecteurs : Laurent Bonnefoy, Frans </w:t>
      </w:r>
      <w:proofErr w:type="spellStart"/>
      <w:r>
        <w:rPr>
          <w:sz w:val="20"/>
          <w:szCs w:val="20"/>
        </w:rPr>
        <w:t>Jorissen</w:t>
      </w:r>
      <w:proofErr w:type="spellEnd"/>
      <w:r>
        <w:rPr>
          <w:sz w:val="20"/>
          <w:szCs w:val="20"/>
        </w:rPr>
        <w:t>, Michel B</w:t>
      </w:r>
      <w:r>
        <w:rPr>
          <w:sz w:val="20"/>
          <w:szCs w:val="20"/>
        </w:rPr>
        <w:t xml:space="preserve">auer, Robert </w:t>
      </w:r>
      <w:proofErr w:type="spellStart"/>
      <w:r>
        <w:rPr>
          <w:sz w:val="20"/>
          <w:szCs w:val="20"/>
        </w:rPr>
        <w:t>Abensur</w:t>
      </w:r>
      <w:proofErr w:type="spellEnd"/>
      <w:r>
        <w:rPr>
          <w:sz w:val="20"/>
          <w:szCs w:val="20"/>
        </w:rPr>
        <w:t xml:space="preserve">, Guy </w:t>
      </w:r>
      <w:proofErr w:type="spellStart"/>
      <w:r>
        <w:rPr>
          <w:sz w:val="20"/>
          <w:szCs w:val="20"/>
        </w:rPr>
        <w:t>Dutau</w:t>
      </w:r>
      <w:proofErr w:type="spellEnd"/>
      <w:r>
        <w:rPr>
          <w:sz w:val="20"/>
          <w:szCs w:val="20"/>
        </w:rPr>
        <w:t xml:space="preserve">, Luc Hamelin, Louis Fanchini, Bruno </w:t>
      </w:r>
      <w:proofErr w:type="spellStart"/>
      <w:r>
        <w:rPr>
          <w:sz w:val="20"/>
          <w:szCs w:val="20"/>
        </w:rPr>
        <w:t>Melin</w:t>
      </w:r>
      <w:proofErr w:type="spellEnd"/>
      <w:r>
        <w:rPr>
          <w:sz w:val="20"/>
          <w:szCs w:val="20"/>
        </w:rPr>
        <w:t>, Brian Trotter</w:t>
      </w:r>
    </w:p>
    <w:p w:rsidR="00477160" w:rsidRDefault="008A28EA">
      <w:pPr>
        <w:jc w:val="both"/>
        <w:rPr>
          <w:sz w:val="20"/>
          <w:szCs w:val="20"/>
        </w:rPr>
      </w:pPr>
      <w:r>
        <w:rPr>
          <w:sz w:val="20"/>
          <w:szCs w:val="20"/>
        </w:rPr>
        <w:t xml:space="preserve">Ses puits de science : Robert </w:t>
      </w:r>
      <w:proofErr w:type="spellStart"/>
      <w:r>
        <w:rPr>
          <w:sz w:val="20"/>
          <w:szCs w:val="20"/>
        </w:rPr>
        <w:t>Abensur</w:t>
      </w:r>
      <w:proofErr w:type="spellEnd"/>
      <w:r>
        <w:rPr>
          <w:sz w:val="20"/>
          <w:szCs w:val="20"/>
        </w:rPr>
        <w:t>, Laurent Bonnefoy, Monsieur Gagné, Luc Hamelin</w:t>
      </w:r>
      <w:r w:rsidR="00F3400D">
        <w:rPr>
          <w:sz w:val="20"/>
          <w:szCs w:val="20"/>
        </w:rPr>
        <w:t xml:space="preserve">, Jean-Jacques </w:t>
      </w:r>
      <w:proofErr w:type="spellStart"/>
      <w:r w:rsidR="00F3400D">
        <w:rPr>
          <w:sz w:val="20"/>
          <w:szCs w:val="20"/>
        </w:rPr>
        <w:t>Rabineau</w:t>
      </w:r>
      <w:proofErr w:type="spellEnd"/>
    </w:p>
    <w:p w:rsidR="00477160" w:rsidRDefault="008A28EA">
      <w:pPr>
        <w:jc w:val="both"/>
        <w:rPr>
          <w:sz w:val="20"/>
          <w:szCs w:val="20"/>
        </w:rPr>
      </w:pPr>
      <w:r>
        <w:rPr>
          <w:sz w:val="20"/>
          <w:szCs w:val="20"/>
        </w:rPr>
        <w:t xml:space="preserve">Les négociants sympas envers Tanguy : Jean-Luc Guilleret, Alain </w:t>
      </w:r>
      <w:proofErr w:type="spellStart"/>
      <w:r>
        <w:rPr>
          <w:sz w:val="20"/>
          <w:szCs w:val="20"/>
        </w:rPr>
        <w:t>Jacquart</w:t>
      </w:r>
      <w:proofErr w:type="spellEnd"/>
      <w:r>
        <w:rPr>
          <w:sz w:val="20"/>
          <w:szCs w:val="20"/>
        </w:rPr>
        <w:t>, Gérald P</w:t>
      </w:r>
      <w:r>
        <w:rPr>
          <w:sz w:val="20"/>
          <w:szCs w:val="20"/>
        </w:rPr>
        <w:t xml:space="preserve">rins, Franck </w:t>
      </w:r>
      <w:proofErr w:type="spellStart"/>
      <w:r>
        <w:rPr>
          <w:sz w:val="20"/>
          <w:szCs w:val="20"/>
        </w:rPr>
        <w:t>Tréviso</w:t>
      </w:r>
      <w:proofErr w:type="spellEnd"/>
      <w:r>
        <w:rPr>
          <w:sz w:val="20"/>
          <w:szCs w:val="20"/>
        </w:rPr>
        <w:t xml:space="preserve">. </w:t>
      </w:r>
    </w:p>
    <w:p w:rsidR="00477160" w:rsidRDefault="008A28EA">
      <w:pPr>
        <w:jc w:val="both"/>
        <w:rPr>
          <w:sz w:val="20"/>
          <w:szCs w:val="20"/>
        </w:rPr>
      </w:pPr>
      <w:r>
        <w:rPr>
          <w:sz w:val="20"/>
          <w:szCs w:val="20"/>
        </w:rPr>
        <w:t xml:space="preserve">L’expert : Jean-François Brun </w:t>
      </w:r>
    </w:p>
    <w:p w:rsidR="00477160" w:rsidRDefault="008A28EA">
      <w:pPr>
        <w:jc w:val="both"/>
        <w:rPr>
          <w:sz w:val="20"/>
          <w:szCs w:val="20"/>
        </w:rPr>
      </w:pPr>
      <w:r>
        <w:rPr>
          <w:sz w:val="20"/>
          <w:szCs w:val="20"/>
        </w:rPr>
        <w:t>Et toutes les autres personnes qui, par un petit mot d’encouragement, un mail, des informations</w:t>
      </w:r>
      <w:r w:rsidR="00F3400D">
        <w:rPr>
          <w:sz w:val="20"/>
          <w:szCs w:val="20"/>
        </w:rPr>
        <w:t>,</w:t>
      </w:r>
      <w:bookmarkStart w:id="0" w:name="_GoBack"/>
      <w:bookmarkEnd w:id="0"/>
      <w:r>
        <w:rPr>
          <w:sz w:val="20"/>
          <w:szCs w:val="20"/>
        </w:rPr>
        <w:t xml:space="preserve"> ont participé au développement de la présentation de Tanguy.</w:t>
      </w:r>
    </w:p>
    <w:p w:rsidR="00477160" w:rsidRDefault="008A28EA">
      <w:pPr>
        <w:jc w:val="both"/>
        <w:rPr>
          <w:sz w:val="20"/>
          <w:szCs w:val="20"/>
        </w:rPr>
      </w:pPr>
      <w:r>
        <w:rPr>
          <w:sz w:val="20"/>
          <w:szCs w:val="20"/>
        </w:rPr>
        <w:t>Enfin l’Association Philatélique Sparnacienne</w:t>
      </w:r>
      <w:r>
        <w:rPr>
          <w:sz w:val="20"/>
          <w:szCs w:val="20"/>
        </w:rPr>
        <w:t xml:space="preserve"> et le groupement Champagne-Ardenne, pour leur soutien financier dans l’acquisition de pièces et de participation aux frais de déplacement et d’hébergement.</w:t>
      </w:r>
    </w:p>
    <w:p w:rsidR="00477160" w:rsidRDefault="008A28EA">
      <w:pPr>
        <w:jc w:val="center"/>
      </w:pPr>
      <w:r>
        <w:rPr>
          <w:noProof/>
          <w:lang w:eastAsia="fr-FR"/>
        </w:rPr>
        <w:drawing>
          <wp:inline distT="0" distB="0" distL="0" distR="0">
            <wp:extent cx="4610100" cy="122364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0"/>
                    <a:srcRect/>
                    <a:stretch>
                      <a:fillRect/>
                    </a:stretch>
                  </pic:blipFill>
                  <pic:spPr bwMode="auto">
                    <a:xfrm>
                      <a:off x="0" y="0"/>
                      <a:ext cx="4610100" cy="1223645"/>
                    </a:xfrm>
                    <a:prstGeom prst="rect">
                      <a:avLst/>
                    </a:prstGeom>
                    <a:noFill/>
                    <a:ln w="9525">
                      <a:noFill/>
                      <a:miter lim="800000"/>
                      <a:headEnd/>
                      <a:tailEnd/>
                    </a:ln>
                  </pic:spPr>
                </pic:pic>
              </a:graphicData>
            </a:graphic>
          </wp:inline>
        </w:drawing>
      </w:r>
    </w:p>
    <w:p w:rsidR="00477160" w:rsidRDefault="008A28EA">
      <w:pPr>
        <w:jc w:val="center"/>
        <w:rPr>
          <w:i/>
          <w:sz w:val="18"/>
          <w:szCs w:val="18"/>
        </w:rPr>
      </w:pPr>
      <w:r>
        <w:rPr>
          <w:i/>
          <w:sz w:val="18"/>
          <w:szCs w:val="18"/>
        </w:rPr>
        <w:t>Absence de la couleur rouge progressive, suite à un assèchement de l’encrier rouge.</w:t>
      </w:r>
    </w:p>
    <w:p w:rsidR="00477160" w:rsidRDefault="008A28EA">
      <w:pPr>
        <w:jc w:val="center"/>
        <w:rPr>
          <w:i/>
          <w:sz w:val="18"/>
          <w:szCs w:val="18"/>
        </w:rPr>
      </w:pPr>
      <w:r>
        <w:rPr>
          <w:i/>
          <w:sz w:val="18"/>
          <w:szCs w:val="18"/>
        </w:rPr>
        <w:t xml:space="preserve">(Pièce </w:t>
      </w:r>
      <w:r>
        <w:rPr>
          <w:i/>
          <w:sz w:val="18"/>
          <w:szCs w:val="18"/>
        </w:rPr>
        <w:t>offerte par l’APS à Tanguy en 2013)</w:t>
      </w:r>
    </w:p>
    <w:p w:rsidR="00477160" w:rsidRDefault="008A28EA">
      <w:pPr>
        <w:jc w:val="both"/>
        <w:rPr>
          <w:sz w:val="20"/>
          <w:szCs w:val="20"/>
        </w:rPr>
      </w:pPr>
      <w:r>
        <w:rPr>
          <w:sz w:val="20"/>
          <w:szCs w:val="20"/>
        </w:rPr>
        <w:t>Depuis, Nathanaël à découvert les joies de la lampe de Wood, la suite dans 12 ans ?</w:t>
      </w:r>
    </w:p>
    <w:p w:rsidR="00477160" w:rsidRDefault="00477160">
      <w:pPr>
        <w:jc w:val="both"/>
        <w:rPr>
          <w:sz w:val="20"/>
          <w:szCs w:val="20"/>
        </w:rPr>
      </w:pPr>
    </w:p>
    <w:p w:rsidR="00477160" w:rsidRDefault="008A28EA">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Olivier SAINTOT</w:t>
      </w:r>
    </w:p>
    <w:p w:rsidR="00477160" w:rsidRDefault="00477160">
      <w:pPr>
        <w:jc w:val="both"/>
        <w:rPr>
          <w:sz w:val="20"/>
          <w:szCs w:val="20"/>
        </w:rPr>
      </w:pPr>
    </w:p>
    <w:p w:rsidR="00477160" w:rsidRDefault="008A28EA">
      <w:pPr>
        <w:jc w:val="both"/>
        <w:rPr>
          <w:sz w:val="20"/>
          <w:szCs w:val="20"/>
        </w:rPr>
      </w:pPr>
      <w:r>
        <w:rPr>
          <w:sz w:val="20"/>
          <w:szCs w:val="20"/>
        </w:rPr>
        <w:t>Note : Pour pouvoir continuer à faire progresser sa présentation, Tanguy recherche particulièrement des carn</w:t>
      </w:r>
      <w:r>
        <w:rPr>
          <w:sz w:val="20"/>
          <w:szCs w:val="20"/>
        </w:rPr>
        <w:t>ets avec des repères (principalement sur le 30c).</w:t>
      </w:r>
    </w:p>
    <w:p w:rsidR="00477160" w:rsidRDefault="00477160">
      <w:pPr>
        <w:jc w:val="both"/>
        <w:rPr>
          <w:sz w:val="20"/>
          <w:szCs w:val="20"/>
        </w:rPr>
      </w:pPr>
    </w:p>
    <w:p w:rsidR="00477160" w:rsidRDefault="00477160"/>
    <w:p w:rsidR="00477160" w:rsidRDefault="00477160">
      <w:pPr>
        <w:sectPr w:rsidR="00477160">
          <w:type w:val="continuous"/>
          <w:pgSz w:w="11906" w:h="16838"/>
          <w:pgMar w:top="1417" w:right="1417" w:bottom="1417" w:left="1417" w:header="0" w:footer="0" w:gutter="0"/>
          <w:cols w:space="720"/>
          <w:formProt w:val="0"/>
          <w:docGrid w:linePitch="360" w:charSpace="4096"/>
        </w:sectPr>
      </w:pPr>
    </w:p>
    <w:p w:rsidR="008A28EA" w:rsidRDefault="008A28EA"/>
    <w:sectPr w:rsidR="008A28EA">
      <w:type w:val="continuous"/>
      <w:pgSz w:w="11906" w:h="16838"/>
      <w:pgMar w:top="1417" w:right="1417" w:bottom="1417" w:left="1417"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8EA" w:rsidRDefault="008A28EA">
      <w:pPr>
        <w:spacing w:after="0" w:line="240" w:lineRule="auto"/>
      </w:pPr>
      <w:r>
        <w:separator/>
      </w:r>
    </w:p>
  </w:endnote>
  <w:endnote w:type="continuationSeparator" w:id="0">
    <w:p w:rsidR="008A28EA" w:rsidRDefault="008A2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8EA" w:rsidRDefault="008A28EA">
      <w:r>
        <w:separator/>
      </w:r>
    </w:p>
  </w:footnote>
  <w:footnote w:type="continuationSeparator" w:id="0">
    <w:p w:rsidR="008A28EA" w:rsidRDefault="008A28EA">
      <w:r>
        <w:continuationSeparator/>
      </w:r>
    </w:p>
  </w:footnote>
  <w:footnote w:id="1">
    <w:p w:rsidR="00477160" w:rsidRDefault="008A28EA">
      <w:pPr>
        <w:pStyle w:val="Notedebasdepage"/>
        <w:rPr>
          <w:sz w:val="18"/>
          <w:szCs w:val="18"/>
        </w:rPr>
      </w:pPr>
      <w:r>
        <w:rPr>
          <w:rStyle w:val="Appelnotedebasdep"/>
        </w:rPr>
        <w:footnoteRef/>
      </w:r>
      <w:r>
        <w:rPr>
          <w:rStyle w:val="Appelnotedebasdep"/>
        </w:rPr>
        <w:tab/>
      </w:r>
      <w:r>
        <w:t xml:space="preserve"> </w:t>
      </w:r>
      <w:r>
        <w:rPr>
          <w:sz w:val="18"/>
          <w:szCs w:val="18"/>
        </w:rPr>
        <w:t xml:space="preserve">Samuel Fricot a obtenu  également 20/20 et participe également  à l’exposition nationale de Poitiers dans le </w:t>
      </w:r>
      <w:r>
        <w:rPr>
          <w:sz w:val="18"/>
          <w:szCs w:val="18"/>
        </w:rPr>
        <w:t>cadre du concours «  reflets de nature »</w:t>
      </w:r>
    </w:p>
  </w:footnote>
  <w:footnote w:id="2">
    <w:p w:rsidR="00477160" w:rsidRDefault="008A28EA">
      <w:pPr>
        <w:pStyle w:val="Notedebasdepage"/>
        <w:rPr>
          <w:sz w:val="18"/>
          <w:szCs w:val="18"/>
        </w:rPr>
      </w:pPr>
      <w:r>
        <w:rPr>
          <w:rStyle w:val="Appelnotedebasdep"/>
          <w:sz w:val="18"/>
          <w:szCs w:val="18"/>
        </w:rPr>
        <w:footnoteRef/>
      </w:r>
      <w:r>
        <w:rPr>
          <w:rStyle w:val="Appelnotedebasdep"/>
          <w:sz w:val="18"/>
          <w:szCs w:val="18"/>
        </w:rPr>
        <w:tab/>
      </w:r>
      <w:r>
        <w:rPr>
          <w:sz w:val="18"/>
          <w:szCs w:val="18"/>
        </w:rPr>
        <w:t xml:space="preserve"> Lors du repas Tanguy nous avait indiqué qu’il espérait obtenir entre 65 et 70 points pour lui permettre d’exposer à la prochaine exposition nationale. Sa note fut de 88 points.</w:t>
      </w:r>
    </w:p>
  </w:footnote>
  <w:footnote w:id="3">
    <w:p w:rsidR="00477160" w:rsidRDefault="008A28EA">
      <w:pPr>
        <w:pStyle w:val="Notedebasdepage"/>
      </w:pPr>
      <w:r>
        <w:rPr>
          <w:rStyle w:val="Appelnotedebasdep"/>
          <w:sz w:val="18"/>
          <w:szCs w:val="18"/>
        </w:rPr>
        <w:footnoteRef/>
      </w:r>
      <w:r>
        <w:rPr>
          <w:rStyle w:val="Appelnotedebasdep"/>
          <w:sz w:val="18"/>
          <w:szCs w:val="18"/>
        </w:rPr>
        <w:tab/>
      </w:r>
      <w:r>
        <w:rPr>
          <w:sz w:val="18"/>
          <w:szCs w:val="18"/>
        </w:rPr>
        <w:t xml:space="preserve"> Achille a obtenu 80 points en ex</w:t>
      </w:r>
      <w:r>
        <w:rPr>
          <w:sz w:val="18"/>
          <w:szCs w:val="18"/>
        </w:rPr>
        <w:t>position locale, puis 85 points lors de l’exposition régionale de Canteleu, pour sa présentation sur les timbres-poste de la poste aérienne de 1984 à 1997.</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160"/>
    <w:rsid w:val="00477160"/>
    <w:rsid w:val="008A28EA"/>
    <w:rsid w:val="00F340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DejaVu Sans" w:hAnsi="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finCar">
    <w:name w:val="Note de fin Car"/>
    <w:basedOn w:val="Policepardfaut"/>
    <w:rPr>
      <w:sz w:val="20"/>
      <w:szCs w:val="20"/>
    </w:rPr>
  </w:style>
  <w:style w:type="character" w:styleId="Appeldenotedefin">
    <w:name w:val="endnote reference"/>
    <w:basedOn w:val="Policepardfaut"/>
    <w:rPr>
      <w:vertAlign w:val="superscript"/>
    </w:rPr>
  </w:style>
  <w:style w:type="character" w:customStyle="1" w:styleId="NotedebasdepageCar">
    <w:name w:val="Note de bas de page Car"/>
    <w:basedOn w:val="Policepardfaut"/>
    <w:rPr>
      <w:sz w:val="20"/>
      <w:szCs w:val="20"/>
    </w:rPr>
  </w:style>
  <w:style w:type="character" w:styleId="Appelnotedebasdep">
    <w:name w:val="footnote reference"/>
    <w:basedOn w:val="Policepardfaut"/>
    <w:rPr>
      <w:vertAlign w:val="superscript"/>
    </w:rPr>
  </w:style>
  <w:style w:type="character" w:customStyle="1" w:styleId="TextedebullesCar">
    <w:name w:val="Texte de bulles Car"/>
    <w:basedOn w:val="Policepardfaut"/>
    <w:rPr>
      <w:rFonts w:ascii="Tahoma" w:hAnsi="Tahoma" w:cs="Tahoma"/>
      <w:sz w:val="16"/>
      <w:szCs w:val="16"/>
    </w:rPr>
  </w:style>
  <w:style w:type="character" w:customStyle="1" w:styleId="Caractresdenotedebasdepage">
    <w:name w:val="Caractères de note de bas de page"/>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style>
  <w:style w:type="paragraph" w:styleId="Titre">
    <w:name w:val="Title"/>
    <w:basedOn w:val="Normal"/>
    <w:next w:val="Corpsdetexte"/>
    <w:pPr>
      <w:keepNext/>
      <w:spacing w:before="240" w:after="120"/>
    </w:pPr>
    <w:rPr>
      <w:rFonts w:ascii="Liberation Sans" w:hAnsi="Liberation Sans" w:cs="FreeSans"/>
      <w:sz w:val="28"/>
      <w:szCs w:val="28"/>
    </w:rPr>
  </w:style>
  <w:style w:type="paragraph" w:styleId="Corpsdetexte">
    <w:name w:val="Body Text"/>
    <w:basedOn w:val="Normal"/>
    <w:pPr>
      <w:spacing w:after="120"/>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Notedefin">
    <w:name w:val="endnote text"/>
    <w:basedOn w:val="Normal"/>
    <w:pPr>
      <w:spacing w:after="0" w:line="100" w:lineRule="atLeast"/>
    </w:pPr>
    <w:rPr>
      <w:sz w:val="20"/>
      <w:szCs w:val="20"/>
    </w:rPr>
  </w:style>
  <w:style w:type="paragraph" w:styleId="Notedebasdepage">
    <w:name w:val="footnote text"/>
    <w:basedOn w:val="Normal"/>
  </w:style>
  <w:style w:type="paragraph" w:styleId="Textedebulles">
    <w:name w:val="Balloon Text"/>
    <w:basedOn w:val="Normal"/>
    <w:pPr>
      <w:spacing w:after="0" w:line="100" w:lineRule="atLeast"/>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DejaVu Sans" w:hAnsi="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finCar">
    <w:name w:val="Note de fin Car"/>
    <w:basedOn w:val="Policepardfaut"/>
    <w:rPr>
      <w:sz w:val="20"/>
      <w:szCs w:val="20"/>
    </w:rPr>
  </w:style>
  <w:style w:type="character" w:styleId="Appeldenotedefin">
    <w:name w:val="endnote reference"/>
    <w:basedOn w:val="Policepardfaut"/>
    <w:rPr>
      <w:vertAlign w:val="superscript"/>
    </w:rPr>
  </w:style>
  <w:style w:type="character" w:customStyle="1" w:styleId="NotedebasdepageCar">
    <w:name w:val="Note de bas de page Car"/>
    <w:basedOn w:val="Policepardfaut"/>
    <w:rPr>
      <w:sz w:val="20"/>
      <w:szCs w:val="20"/>
    </w:rPr>
  </w:style>
  <w:style w:type="character" w:styleId="Appelnotedebasdep">
    <w:name w:val="footnote reference"/>
    <w:basedOn w:val="Policepardfaut"/>
    <w:rPr>
      <w:vertAlign w:val="superscript"/>
    </w:rPr>
  </w:style>
  <w:style w:type="character" w:customStyle="1" w:styleId="TextedebullesCar">
    <w:name w:val="Texte de bulles Car"/>
    <w:basedOn w:val="Policepardfaut"/>
    <w:rPr>
      <w:rFonts w:ascii="Tahoma" w:hAnsi="Tahoma" w:cs="Tahoma"/>
      <w:sz w:val="16"/>
      <w:szCs w:val="16"/>
    </w:rPr>
  </w:style>
  <w:style w:type="character" w:customStyle="1" w:styleId="Caractresdenotedebasdepage">
    <w:name w:val="Caractères de note de bas de page"/>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style>
  <w:style w:type="paragraph" w:styleId="Titre">
    <w:name w:val="Title"/>
    <w:basedOn w:val="Normal"/>
    <w:next w:val="Corpsdetexte"/>
    <w:pPr>
      <w:keepNext/>
      <w:spacing w:before="240" w:after="120"/>
    </w:pPr>
    <w:rPr>
      <w:rFonts w:ascii="Liberation Sans" w:hAnsi="Liberation Sans" w:cs="FreeSans"/>
      <w:sz w:val="28"/>
      <w:szCs w:val="28"/>
    </w:rPr>
  </w:style>
  <w:style w:type="paragraph" w:styleId="Corpsdetexte">
    <w:name w:val="Body Text"/>
    <w:basedOn w:val="Normal"/>
    <w:pPr>
      <w:spacing w:after="120"/>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Notedefin">
    <w:name w:val="endnote text"/>
    <w:basedOn w:val="Normal"/>
    <w:pPr>
      <w:spacing w:after="0" w:line="100" w:lineRule="atLeast"/>
    </w:pPr>
    <w:rPr>
      <w:sz w:val="20"/>
      <w:szCs w:val="20"/>
    </w:rPr>
  </w:style>
  <w:style w:type="paragraph" w:styleId="Notedebasdepage">
    <w:name w:val="footnote text"/>
    <w:basedOn w:val="Normal"/>
  </w:style>
  <w:style w:type="paragraph" w:styleId="Textedebulles">
    <w:name w:val="Balloon Text"/>
    <w:basedOn w:val="Normal"/>
    <w:pPr>
      <w:spacing w:after="0" w:line="100" w:lineRule="atLeast"/>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1524</Words>
  <Characters>8385</Characters>
  <Application>Microsoft Office Word</Application>
  <DocSecurity>0</DocSecurity>
  <Lines>69</Lines>
  <Paragraphs>19</Paragraphs>
  <ScaleCrop>false</ScaleCrop>
  <Company/>
  <LinksUpToDate>false</LinksUpToDate>
  <CharactersWithSpaces>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SAINTOT</dc:creator>
  <cp:lastModifiedBy>Olivier SAINTOT</cp:lastModifiedBy>
  <cp:revision>3</cp:revision>
  <dcterms:created xsi:type="dcterms:W3CDTF">2014-04-14T12:17:00Z</dcterms:created>
  <dcterms:modified xsi:type="dcterms:W3CDTF">2014-04-14T12:17:00Z</dcterms:modified>
</cp:coreProperties>
</file>